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35" w:rsidRPr="00145849" w:rsidRDefault="00A27335" w:rsidP="00A27335">
      <w:pPr>
        <w:pBdr>
          <w:bottom w:val="single" w:sz="4" w:space="1" w:color="auto"/>
        </w:pBdr>
        <w:spacing w:after="0" w:line="240" w:lineRule="auto"/>
        <w:rPr>
          <w:b/>
          <w:sz w:val="24"/>
          <w:szCs w:val="24"/>
        </w:rPr>
      </w:pPr>
      <w:r>
        <w:rPr>
          <w:b/>
          <w:noProof/>
          <w:sz w:val="24"/>
          <w:szCs w:val="24"/>
          <w:lang w:eastAsia="fr-FR"/>
        </w:rPr>
        <w:drawing>
          <wp:inline distT="0" distB="0" distL="0" distR="0" wp14:anchorId="0E9CD9DB" wp14:editId="325E6E31">
            <wp:extent cx="788062" cy="338272"/>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s Isère-fr - quad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062" cy="338272"/>
                    </a:xfrm>
                    <a:prstGeom prst="rect">
                      <a:avLst/>
                    </a:prstGeom>
                  </pic:spPr>
                </pic:pic>
              </a:graphicData>
            </a:graphic>
          </wp:inline>
        </w:drawing>
      </w:r>
      <w:r>
        <w:rPr>
          <w:b/>
          <w:sz w:val="28"/>
          <w:szCs w:val="28"/>
        </w:rPr>
        <w:tab/>
      </w:r>
      <w:r w:rsidRPr="00403C68">
        <w:rPr>
          <w:b/>
          <w:sz w:val="28"/>
          <w:szCs w:val="28"/>
        </w:rPr>
        <w:t xml:space="preserve">    </w:t>
      </w:r>
      <w:r w:rsidRPr="00145849">
        <w:rPr>
          <w:b/>
          <w:sz w:val="28"/>
          <w:szCs w:val="28"/>
        </w:rPr>
        <w:t>Programme Départementa</w:t>
      </w:r>
      <w:r w:rsidR="00B4435D">
        <w:rPr>
          <w:b/>
          <w:sz w:val="28"/>
          <w:szCs w:val="28"/>
        </w:rPr>
        <w:t xml:space="preserve">l d’Insertion vers l’Emploi </w:t>
      </w:r>
    </w:p>
    <w:p w:rsidR="00A27335" w:rsidRPr="00B71918" w:rsidRDefault="00A27335" w:rsidP="00A27335">
      <w:pPr>
        <w:spacing w:after="0" w:line="240" w:lineRule="auto"/>
      </w:pPr>
    </w:p>
    <w:tbl>
      <w:tblPr>
        <w:tblStyle w:val="Grilledutableau"/>
        <w:tblW w:w="964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A27335" w:rsidTr="007360A8">
        <w:trPr>
          <w:trHeight w:val="889"/>
        </w:trPr>
        <w:tc>
          <w:tcPr>
            <w:tcW w:w="9640" w:type="dxa"/>
            <w:tcBorders>
              <w:bottom w:val="double" w:sz="4" w:space="0" w:color="auto"/>
            </w:tcBorders>
            <w:shd w:val="clear" w:color="auto" w:fill="8DB3E2" w:themeFill="text2" w:themeFillTint="66"/>
          </w:tcPr>
          <w:p w:rsidR="00A27335" w:rsidRPr="00B51BF3" w:rsidRDefault="00A27335" w:rsidP="000E0BE0">
            <w:pPr>
              <w:jc w:val="center"/>
              <w:rPr>
                <w:b/>
                <w:sz w:val="24"/>
                <w:szCs w:val="24"/>
              </w:rPr>
            </w:pPr>
            <w:r>
              <w:rPr>
                <w:b/>
                <w:sz w:val="24"/>
                <w:szCs w:val="24"/>
              </w:rPr>
              <w:t>Appel à projet </w:t>
            </w:r>
            <w:r w:rsidR="00E7403D">
              <w:rPr>
                <w:b/>
                <w:sz w:val="24"/>
                <w:szCs w:val="24"/>
              </w:rPr>
              <w:t>(2019)</w:t>
            </w:r>
          </w:p>
          <w:p w:rsidR="00A27335" w:rsidRPr="00B51BF3" w:rsidRDefault="00A27335" w:rsidP="000E0BE0">
            <w:pPr>
              <w:jc w:val="center"/>
              <w:rPr>
                <w:b/>
                <w:sz w:val="24"/>
                <w:szCs w:val="24"/>
              </w:rPr>
            </w:pPr>
            <w:r>
              <w:rPr>
                <w:b/>
                <w:sz w:val="24"/>
                <w:szCs w:val="24"/>
              </w:rPr>
              <w:t xml:space="preserve">Insertion par l’activité économique </w:t>
            </w:r>
          </w:p>
        </w:tc>
      </w:tr>
      <w:tr w:rsidR="00A27335" w:rsidTr="007360A8">
        <w:tc>
          <w:tcPr>
            <w:tcW w:w="9640" w:type="dxa"/>
          </w:tcPr>
          <w:p w:rsidR="00A27335" w:rsidRDefault="00A27335" w:rsidP="000E0BE0">
            <w:pPr>
              <w:ind w:right="33"/>
              <w:jc w:val="both"/>
              <w:rPr>
                <w:b/>
                <w:sz w:val="24"/>
                <w:szCs w:val="24"/>
              </w:rPr>
            </w:pPr>
            <w:r w:rsidRPr="00B51BF3">
              <w:rPr>
                <w:b/>
                <w:sz w:val="24"/>
                <w:szCs w:val="24"/>
              </w:rPr>
              <w:t>Con</w:t>
            </w:r>
            <w:r>
              <w:rPr>
                <w:b/>
                <w:sz w:val="24"/>
                <w:szCs w:val="24"/>
              </w:rPr>
              <w:t>texte</w:t>
            </w:r>
            <w:r w:rsidR="00792B3B">
              <w:rPr>
                <w:b/>
                <w:sz w:val="24"/>
                <w:szCs w:val="24"/>
              </w:rPr>
              <w:t> :</w:t>
            </w:r>
          </w:p>
          <w:p w:rsidR="00A27335" w:rsidRDefault="00A27335" w:rsidP="000E0BE0">
            <w:pPr>
              <w:ind w:right="175"/>
              <w:jc w:val="both"/>
            </w:pPr>
            <w:r w:rsidRPr="00E66AAF">
              <w:t>L’insertion par l’activité économique permet</w:t>
            </w:r>
            <w:r>
              <w:t xml:space="preserve"> aux </w:t>
            </w:r>
            <w:r w:rsidRPr="00E66AAF">
              <w:t>personnes sans emploi, rencontrant des difficultés sociales et professionnelles particulières, de bénéficier d</w:t>
            </w:r>
            <w:r>
              <w:t xml:space="preserve">’un accompagnement renforcé dans le cadre de </w:t>
            </w:r>
            <w:r w:rsidRPr="00E66AAF">
              <w:t>contrats de travail en vue de faciliter leur insertion professionnelle. Elle met en œuvre des modalités spécifiques d’accueil et d’accompagnement.</w:t>
            </w:r>
          </w:p>
          <w:p w:rsidR="00A27335" w:rsidRDefault="00A27335" w:rsidP="000E0BE0">
            <w:pPr>
              <w:ind w:right="175"/>
              <w:jc w:val="both"/>
            </w:pPr>
            <w:r>
              <w:t xml:space="preserve">Il existe 4 formes de structures, qui font toutes l’objet d’un conventionnement avec l’Etat : les ateliers et chantiers d’insertion </w:t>
            </w:r>
            <w:r w:rsidRPr="00ED7FCC">
              <w:rPr>
                <w:b/>
              </w:rPr>
              <w:t>(ACI)</w:t>
            </w:r>
            <w:r w:rsidRPr="00ED7FCC">
              <w:t xml:space="preserve">, </w:t>
            </w:r>
            <w:r>
              <w:t xml:space="preserve">les entreprises d’insertion </w:t>
            </w:r>
            <w:r w:rsidRPr="00ED7FCC">
              <w:rPr>
                <w:b/>
              </w:rPr>
              <w:t>(EI)</w:t>
            </w:r>
            <w:r w:rsidRPr="00ED7FCC">
              <w:t xml:space="preserve">, </w:t>
            </w:r>
            <w:r>
              <w:t xml:space="preserve">les associations intermédiaires </w:t>
            </w:r>
            <w:r w:rsidRPr="00ED7FCC">
              <w:rPr>
                <w:b/>
              </w:rPr>
              <w:t>(AI)</w:t>
            </w:r>
            <w:r w:rsidRPr="00ED7FCC">
              <w:t xml:space="preserve"> </w:t>
            </w:r>
            <w:r>
              <w:t xml:space="preserve">et les entreprises de travail temporaire </w:t>
            </w:r>
            <w:r w:rsidRPr="00ED7FCC">
              <w:t xml:space="preserve">d’insertion </w:t>
            </w:r>
            <w:r w:rsidRPr="00ED7FCC">
              <w:rPr>
                <w:b/>
              </w:rPr>
              <w:t>(ETTI)</w:t>
            </w:r>
            <w:r w:rsidRPr="00ED7FCC">
              <w:t xml:space="preserve">. </w:t>
            </w:r>
            <w:r>
              <w:t>Ce conventionnement leur permet d’accueillir et accompagner ces salariés.</w:t>
            </w:r>
          </w:p>
          <w:p w:rsidR="00345308" w:rsidRPr="00853624" w:rsidRDefault="00345308" w:rsidP="000E0BE0">
            <w:pPr>
              <w:ind w:right="175"/>
              <w:jc w:val="both"/>
            </w:pPr>
          </w:p>
        </w:tc>
      </w:tr>
      <w:tr w:rsidR="00A27335" w:rsidTr="007360A8">
        <w:tc>
          <w:tcPr>
            <w:tcW w:w="9640" w:type="dxa"/>
            <w:tcBorders>
              <w:bottom w:val="single" w:sz="4" w:space="0" w:color="auto"/>
            </w:tcBorders>
          </w:tcPr>
          <w:p w:rsidR="00A27335" w:rsidRDefault="00A27335" w:rsidP="000E0BE0">
            <w:pPr>
              <w:ind w:right="33"/>
              <w:rPr>
                <w:b/>
                <w:sz w:val="24"/>
                <w:szCs w:val="24"/>
              </w:rPr>
            </w:pPr>
            <w:r>
              <w:rPr>
                <w:b/>
                <w:sz w:val="24"/>
                <w:szCs w:val="24"/>
              </w:rPr>
              <w:t>Descriptif et objectifs :</w:t>
            </w:r>
          </w:p>
          <w:p w:rsidR="00A27335" w:rsidRPr="00853624" w:rsidRDefault="00A27335" w:rsidP="000E0BE0">
            <w:pPr>
              <w:ind w:right="175"/>
              <w:contextualSpacing/>
              <w:jc w:val="both"/>
              <w:rPr>
                <w:rFonts w:cs="Arial"/>
              </w:rPr>
            </w:pPr>
            <w:r w:rsidRPr="00EB21D3">
              <w:rPr>
                <w:rFonts w:cs="Arial"/>
              </w:rPr>
              <w:t xml:space="preserve">Le Département soutient l’IAE au titre du programme d’insertion vers l’emploi parce </w:t>
            </w:r>
            <w:r>
              <w:rPr>
                <w:rFonts w:cs="Arial"/>
              </w:rPr>
              <w:t>que ces structures</w:t>
            </w:r>
            <w:r w:rsidRPr="00EB21D3">
              <w:rPr>
                <w:rFonts w:cs="Arial"/>
              </w:rPr>
              <w:t xml:space="preserve"> constituent des étapes de parcours importantes pour les salariés en insertion et en particulier l</w:t>
            </w:r>
            <w:r>
              <w:rPr>
                <w:rFonts w:cs="Arial"/>
              </w:rPr>
              <w:t xml:space="preserve">es allocataires du RSA. </w:t>
            </w:r>
            <w:r w:rsidR="001574FF">
              <w:rPr>
                <w:rFonts w:cs="Arial"/>
              </w:rPr>
              <w:t>Ce dispositif</w:t>
            </w:r>
            <w:r w:rsidRPr="005A6EF1">
              <w:rPr>
                <w:rFonts w:cs="Arial"/>
              </w:rPr>
              <w:t xml:space="preserve"> </w:t>
            </w:r>
            <w:r w:rsidR="000A543D" w:rsidRPr="00B4435D">
              <w:rPr>
                <w:rFonts w:cs="Arial"/>
              </w:rPr>
              <w:t>offre</w:t>
            </w:r>
            <w:r w:rsidRPr="000A543D">
              <w:rPr>
                <w:rFonts w:cs="Arial"/>
                <w:color w:val="FF0000"/>
              </w:rPr>
              <w:t xml:space="preserve"> </w:t>
            </w:r>
            <w:r w:rsidRPr="005A6EF1">
              <w:rPr>
                <w:rFonts w:cs="Arial"/>
              </w:rPr>
              <w:t xml:space="preserve">la possibilité d’un retour à l’emploi </w:t>
            </w:r>
            <w:r w:rsidRPr="005A6EF1">
              <w:rPr>
                <w:rFonts w:eastAsia="Calibri" w:cs="Arial"/>
                <w:lang w:bidi="en-US"/>
              </w:rPr>
              <w:t xml:space="preserve">(y compris l’emploi non durable) mais également une redynamisation du salarié, la prise de conscience de ses capacités, de ses évolutions positives </w:t>
            </w:r>
            <w:r w:rsidRPr="00853624">
              <w:rPr>
                <w:rFonts w:eastAsia="Calibri" w:cs="Arial"/>
                <w:lang w:bidi="en-US"/>
              </w:rPr>
              <w:t>(</w:t>
            </w:r>
            <w:r w:rsidRPr="00EB21D3">
              <w:rPr>
                <w:rFonts w:eastAsia="Calibri" w:cs="Arial"/>
                <w:lang w:bidi="en-US"/>
              </w:rPr>
              <w:t xml:space="preserve">par </w:t>
            </w:r>
            <w:r w:rsidRPr="00853624">
              <w:rPr>
                <w:rFonts w:eastAsia="Calibri" w:cs="Arial"/>
                <w:lang w:bidi="en-US"/>
              </w:rPr>
              <w:t xml:space="preserve">ex sur le plan du développement personnel, de la santé ou de la situation financière) ou l’acquisition </w:t>
            </w:r>
            <w:r w:rsidRPr="00AA4AF8">
              <w:rPr>
                <w:rFonts w:eastAsia="Calibri" w:cs="Arial"/>
                <w:lang w:bidi="en-US"/>
              </w:rPr>
              <w:t>de capacités et/ou</w:t>
            </w:r>
            <w:r w:rsidRPr="00853624">
              <w:rPr>
                <w:rFonts w:eastAsia="Calibri" w:cs="Arial"/>
                <w:lang w:bidi="en-US"/>
              </w:rPr>
              <w:t xml:space="preserve"> de compétences sociales et professionnelles. </w:t>
            </w:r>
            <w:r w:rsidRPr="00853624">
              <w:rPr>
                <w:rFonts w:eastAsia="Calibri" w:cs="Arial"/>
                <w:b/>
                <w:bCs/>
                <w:color w:val="000000"/>
                <w:lang w:bidi="en-US"/>
              </w:rPr>
              <w:t>La possibilité de gagner un revenu d’activité est également un élément important, ce qui permet</w:t>
            </w:r>
            <w:r w:rsidRPr="00EB21D3">
              <w:rPr>
                <w:rFonts w:eastAsia="Calibri" w:cs="Arial"/>
                <w:b/>
                <w:bCs/>
                <w:color w:val="000000"/>
                <w:lang w:bidi="en-US"/>
              </w:rPr>
              <w:t xml:space="preserve"> à terme</w:t>
            </w:r>
            <w:r w:rsidRPr="00853624">
              <w:rPr>
                <w:rFonts w:eastAsia="Calibri" w:cs="Arial"/>
                <w:b/>
                <w:bCs/>
                <w:color w:val="000000"/>
                <w:lang w:bidi="en-US"/>
              </w:rPr>
              <w:t xml:space="preserve"> à l’allocataire du RSA de ne plus</w:t>
            </w:r>
            <w:r>
              <w:rPr>
                <w:rFonts w:eastAsia="Calibri" w:cs="Arial"/>
                <w:b/>
                <w:bCs/>
                <w:color w:val="000000"/>
                <w:lang w:bidi="en-US"/>
              </w:rPr>
              <w:t xml:space="preserve"> en</w:t>
            </w:r>
            <w:r w:rsidRPr="00853624">
              <w:rPr>
                <w:rFonts w:eastAsia="Calibri" w:cs="Arial"/>
                <w:b/>
                <w:bCs/>
                <w:color w:val="000000"/>
                <w:lang w:bidi="en-US"/>
              </w:rPr>
              <w:t xml:space="preserve"> bénéficier.</w:t>
            </w:r>
          </w:p>
          <w:p w:rsidR="00A27335" w:rsidRPr="00832398" w:rsidRDefault="00A27335" w:rsidP="000E0BE0">
            <w:pPr>
              <w:jc w:val="both"/>
            </w:pPr>
          </w:p>
        </w:tc>
      </w:tr>
      <w:tr w:rsidR="00A27335" w:rsidTr="007360A8">
        <w:tc>
          <w:tcPr>
            <w:tcW w:w="9640" w:type="dxa"/>
            <w:tcBorders>
              <w:top w:val="single" w:sz="4" w:space="0" w:color="auto"/>
            </w:tcBorders>
          </w:tcPr>
          <w:p w:rsidR="00A27335" w:rsidRDefault="00A27335" w:rsidP="000E0BE0">
            <w:pPr>
              <w:rPr>
                <w:b/>
                <w:sz w:val="24"/>
                <w:szCs w:val="24"/>
              </w:rPr>
            </w:pPr>
            <w:r>
              <w:rPr>
                <w:b/>
                <w:sz w:val="24"/>
                <w:szCs w:val="24"/>
              </w:rPr>
              <w:t>Attentes du département :</w:t>
            </w:r>
          </w:p>
          <w:p w:rsidR="00A27335" w:rsidRPr="009F2D58" w:rsidRDefault="00A27335" w:rsidP="00345308">
            <w:pPr>
              <w:pStyle w:val="Paragraphedeliste"/>
              <w:numPr>
                <w:ilvl w:val="0"/>
                <w:numId w:val="4"/>
              </w:numPr>
              <w:ind w:right="175"/>
              <w:jc w:val="both"/>
              <w:rPr>
                <w:rFonts w:cs="Arial"/>
              </w:rPr>
            </w:pPr>
            <w:r w:rsidRPr="009F2D58">
              <w:rPr>
                <w:rFonts w:cs="Arial"/>
              </w:rPr>
              <w:t>Recrutement d’allocataires du RSA,</w:t>
            </w:r>
          </w:p>
          <w:p w:rsidR="00A27335" w:rsidRPr="009F2D58" w:rsidRDefault="00A27335" w:rsidP="00345308">
            <w:pPr>
              <w:pStyle w:val="Paragraphedeliste"/>
              <w:numPr>
                <w:ilvl w:val="0"/>
                <w:numId w:val="4"/>
              </w:numPr>
              <w:ind w:right="175"/>
              <w:jc w:val="both"/>
              <w:rPr>
                <w:rFonts w:cs="Arial"/>
              </w:rPr>
            </w:pPr>
            <w:r w:rsidRPr="009F2D58">
              <w:rPr>
                <w:rFonts w:cs="Arial"/>
              </w:rPr>
              <w:t>Accompagnement des salariés en vue de favoriser la sécurisation de leur parcours et de favoriser leur sortie vers l’emploi</w:t>
            </w:r>
          </w:p>
          <w:p w:rsidR="00A27335" w:rsidRPr="009F2D58" w:rsidRDefault="00A27335" w:rsidP="00345308">
            <w:pPr>
              <w:pStyle w:val="Paragraphedeliste"/>
              <w:numPr>
                <w:ilvl w:val="0"/>
                <w:numId w:val="4"/>
              </w:numPr>
              <w:ind w:right="175"/>
              <w:jc w:val="both"/>
              <w:rPr>
                <w:rFonts w:cs="Arial"/>
              </w:rPr>
            </w:pPr>
            <w:r w:rsidRPr="009F2D58">
              <w:rPr>
                <w:rFonts w:cs="Arial"/>
              </w:rPr>
              <w:t>Développement d’une offre</w:t>
            </w:r>
            <w:r w:rsidR="000A543D" w:rsidRPr="009F2D58">
              <w:rPr>
                <w:rFonts w:cs="Arial"/>
              </w:rPr>
              <w:t xml:space="preserve"> homogène</w:t>
            </w:r>
            <w:r w:rsidRPr="009F2D58">
              <w:rPr>
                <w:rFonts w:cs="Arial"/>
              </w:rPr>
              <w:t xml:space="preserve"> répartie sur le territoire du Département en tenant compte des besoins</w:t>
            </w:r>
          </w:p>
          <w:p w:rsidR="00A27335" w:rsidRPr="009F2D58" w:rsidRDefault="00A27335" w:rsidP="00345308">
            <w:pPr>
              <w:pStyle w:val="Paragraphedeliste"/>
              <w:numPr>
                <w:ilvl w:val="0"/>
                <w:numId w:val="4"/>
              </w:numPr>
              <w:ind w:right="175"/>
              <w:jc w:val="both"/>
              <w:rPr>
                <w:rFonts w:cs="Arial"/>
              </w:rPr>
            </w:pPr>
            <w:r w:rsidRPr="009F2D58">
              <w:rPr>
                <w:rFonts w:cs="Arial"/>
              </w:rPr>
              <w:t>Lien avec les référents uniques RSA en charge de l’accompagnement des allocataires du RSA</w:t>
            </w:r>
          </w:p>
          <w:p w:rsidR="000A543D" w:rsidRPr="009F2D58" w:rsidRDefault="00A27335" w:rsidP="000A543D">
            <w:pPr>
              <w:pStyle w:val="Paragraphedeliste"/>
              <w:numPr>
                <w:ilvl w:val="0"/>
                <w:numId w:val="4"/>
              </w:numPr>
              <w:ind w:right="175"/>
              <w:jc w:val="both"/>
              <w:rPr>
                <w:rFonts w:cs="Arial"/>
              </w:rPr>
            </w:pPr>
            <w:r w:rsidRPr="009F2D58">
              <w:rPr>
                <w:rFonts w:cs="Arial"/>
              </w:rPr>
              <w:t xml:space="preserve">Couverture départementale répartie </w:t>
            </w:r>
            <w:r w:rsidR="000A543D" w:rsidRPr="009F2D58">
              <w:rPr>
                <w:rFonts w:cs="Arial"/>
              </w:rPr>
              <w:t>homogène</w:t>
            </w:r>
            <w:r w:rsidRPr="009F2D58">
              <w:rPr>
                <w:rFonts w:cs="Arial"/>
              </w:rPr>
              <w:t xml:space="preserve"> sur le territoire au regard des besoins et en tenant compte d’une bonne répartition entre les différents types de structures.</w:t>
            </w:r>
          </w:p>
          <w:p w:rsidR="000A543D" w:rsidRPr="009F2D58" w:rsidRDefault="00012B44" w:rsidP="000A543D">
            <w:pPr>
              <w:pStyle w:val="Paragraphedeliste"/>
              <w:numPr>
                <w:ilvl w:val="0"/>
                <w:numId w:val="4"/>
              </w:numPr>
              <w:ind w:right="175"/>
              <w:jc w:val="both"/>
              <w:rPr>
                <w:rFonts w:cs="Arial"/>
              </w:rPr>
            </w:pPr>
            <w:r w:rsidRPr="009F2D58">
              <w:rPr>
                <w:rFonts w:cs="Arial"/>
              </w:rPr>
              <w:t>Une attention particulière sur</w:t>
            </w:r>
            <w:r w:rsidR="000A543D" w:rsidRPr="009F2D58">
              <w:rPr>
                <w:rFonts w:cs="Arial"/>
              </w:rPr>
              <w:t xml:space="preserve"> la qualité de l’accompagnement :</w:t>
            </w:r>
            <w:r w:rsidR="00406205" w:rsidRPr="009F2D58">
              <w:rPr>
                <w:rFonts w:cs="Arial"/>
              </w:rPr>
              <w:t xml:space="preserve"> public, immersion, formation,</w:t>
            </w:r>
            <w:r w:rsidR="004F1DC9" w:rsidRPr="009F2D58">
              <w:rPr>
                <w:rFonts w:cs="Arial"/>
              </w:rPr>
              <w:t xml:space="preserve"> sorties positives, encadrement (ACI).</w:t>
            </w:r>
          </w:p>
          <w:p w:rsidR="00A27335" w:rsidRPr="00487567" w:rsidRDefault="00A27335" w:rsidP="000E0BE0">
            <w:pPr>
              <w:jc w:val="both"/>
              <w:rPr>
                <w:sz w:val="24"/>
                <w:szCs w:val="24"/>
              </w:rPr>
            </w:pPr>
          </w:p>
        </w:tc>
      </w:tr>
      <w:tr w:rsidR="00A27335" w:rsidTr="007360A8">
        <w:tc>
          <w:tcPr>
            <w:tcW w:w="9640" w:type="dxa"/>
          </w:tcPr>
          <w:p w:rsidR="00A27335" w:rsidRDefault="00A27335" w:rsidP="000E0BE0">
            <w:pPr>
              <w:rPr>
                <w:b/>
                <w:sz w:val="24"/>
                <w:szCs w:val="24"/>
              </w:rPr>
            </w:pPr>
            <w:r>
              <w:rPr>
                <w:b/>
                <w:sz w:val="24"/>
                <w:szCs w:val="24"/>
              </w:rPr>
              <w:t>Publics cibles :</w:t>
            </w:r>
          </w:p>
          <w:p w:rsidR="00A27335" w:rsidRDefault="00A27335" w:rsidP="00CC02C2">
            <w:pPr>
              <w:pStyle w:val="Paragraphedeliste"/>
              <w:numPr>
                <w:ilvl w:val="0"/>
                <w:numId w:val="5"/>
              </w:numPr>
            </w:pPr>
            <w:r w:rsidRPr="009A2390">
              <w:t>Allocataires du RSA</w:t>
            </w:r>
            <w:r>
              <w:t xml:space="preserve"> et autres publics en insertion</w:t>
            </w:r>
            <w:r w:rsidR="00CC02C2">
              <w:t>.</w:t>
            </w:r>
          </w:p>
          <w:p w:rsidR="00A27335" w:rsidRPr="00CC02C2" w:rsidRDefault="00A27335" w:rsidP="000E0BE0"/>
        </w:tc>
      </w:tr>
      <w:tr w:rsidR="008D1D3A" w:rsidTr="007360A8">
        <w:tc>
          <w:tcPr>
            <w:tcW w:w="9640" w:type="dxa"/>
          </w:tcPr>
          <w:p w:rsidR="007360A8" w:rsidRDefault="00792B3B" w:rsidP="008D1D3A">
            <w:pPr>
              <w:rPr>
                <w:b/>
                <w:sz w:val="24"/>
                <w:szCs w:val="24"/>
              </w:rPr>
            </w:pPr>
            <w:r>
              <w:rPr>
                <w:b/>
                <w:sz w:val="24"/>
                <w:szCs w:val="24"/>
              </w:rPr>
              <w:t>Modalités de financement :</w:t>
            </w:r>
          </w:p>
          <w:p w:rsidR="008D1D3A" w:rsidRPr="005A6EF1" w:rsidRDefault="007360A8" w:rsidP="008D1D3A">
            <w:pPr>
              <w:rPr>
                <w:b/>
                <w:sz w:val="24"/>
                <w:szCs w:val="24"/>
              </w:rPr>
            </w:pPr>
            <w:r w:rsidRPr="007360A8">
              <w:rPr>
                <w:sz w:val="24"/>
                <w:szCs w:val="24"/>
              </w:rPr>
              <w:t>F</w:t>
            </w:r>
            <w:r w:rsidR="008D1D3A" w:rsidRPr="005A6EF1">
              <w:rPr>
                <w:szCs w:val="24"/>
              </w:rPr>
              <w:t>inancement lié au nombre d’allocataires du RSA salariés (en ETP).</w:t>
            </w:r>
          </w:p>
          <w:p w:rsidR="004F0F39" w:rsidRDefault="004F1DC9" w:rsidP="00B4435D">
            <w:pPr>
              <w:pStyle w:val="Paragraphedeliste"/>
              <w:ind w:right="175"/>
              <w:jc w:val="both"/>
              <w:rPr>
                <w:rFonts w:cs="Arial"/>
              </w:rPr>
            </w:pPr>
            <w:r>
              <w:rPr>
                <w:rFonts w:ascii="Arial" w:hAnsi="Arial" w:cs="Arial"/>
                <w:b/>
                <w:u w:val="single"/>
              </w:rPr>
              <w:t>►</w:t>
            </w:r>
            <w:r w:rsidR="008D1D3A" w:rsidRPr="004F1DC9">
              <w:rPr>
                <w:rFonts w:cs="Arial"/>
                <w:b/>
                <w:u w:val="single"/>
              </w:rPr>
              <w:t>Pour les ACI</w:t>
            </w:r>
            <w:r w:rsidR="008D1D3A" w:rsidRPr="00673070">
              <w:rPr>
                <w:rFonts w:cs="Arial"/>
              </w:rPr>
              <w:t xml:space="preserve"> : </w:t>
            </w:r>
          </w:p>
          <w:p w:rsidR="00B4435D" w:rsidRPr="00B4435D" w:rsidRDefault="009F2D58" w:rsidP="00B4435D">
            <w:pPr>
              <w:ind w:right="175"/>
              <w:jc w:val="both"/>
              <w:rPr>
                <w:rFonts w:cs="Arial"/>
              </w:rPr>
            </w:pPr>
            <w:r>
              <w:rPr>
                <w:rFonts w:cs="Arial"/>
                <w:i/>
              </w:rPr>
              <w:t xml:space="preserve">  </w:t>
            </w:r>
            <w:r w:rsidR="00F74A3C" w:rsidRPr="009F2D58">
              <w:rPr>
                <w:rFonts w:cs="Arial"/>
                <w:i/>
              </w:rPr>
              <w:t>Aide aux postes (CDDI)</w:t>
            </w:r>
            <w:r w:rsidR="00F74A3C">
              <w:rPr>
                <w:rFonts w:cs="Arial"/>
              </w:rPr>
              <w:t xml:space="preserve"> </w:t>
            </w:r>
            <w:r w:rsidR="00B4435D">
              <w:rPr>
                <w:rFonts w:cs="Arial"/>
              </w:rPr>
              <w:t xml:space="preserve">: </w:t>
            </w:r>
            <w:r w:rsidR="00F74A3C">
              <w:rPr>
                <w:rFonts w:cs="Arial"/>
              </w:rPr>
              <w:t xml:space="preserve">un </w:t>
            </w:r>
            <w:r w:rsidR="00B4435D">
              <w:rPr>
                <w:rFonts w:cs="Arial"/>
              </w:rPr>
              <w:t xml:space="preserve">montant fixe de 485 € par </w:t>
            </w:r>
            <w:r w:rsidR="00F74A3C">
              <w:rPr>
                <w:rFonts w:cs="Arial"/>
              </w:rPr>
              <w:t xml:space="preserve">mois </w:t>
            </w:r>
            <w:r w:rsidR="00B4435D">
              <w:rPr>
                <w:rFonts w:cs="Arial"/>
              </w:rPr>
              <w:t>de salarié allocataires du RSA</w:t>
            </w:r>
          </w:p>
          <w:p w:rsidR="00B4435D" w:rsidRPr="00E7403D" w:rsidRDefault="009F2D58" w:rsidP="00B4435D">
            <w:pPr>
              <w:ind w:right="175"/>
              <w:jc w:val="both"/>
              <w:rPr>
                <w:szCs w:val="24"/>
              </w:rPr>
            </w:pPr>
            <w:r>
              <w:rPr>
                <w:i/>
                <w:szCs w:val="24"/>
              </w:rPr>
              <w:t xml:space="preserve"> </w:t>
            </w:r>
            <w:r w:rsidR="00B4435D" w:rsidRPr="009F2D58">
              <w:rPr>
                <w:i/>
                <w:szCs w:val="24"/>
              </w:rPr>
              <w:t>Aide à l’offre d’insertion</w:t>
            </w:r>
            <w:r w:rsidR="00B4435D" w:rsidRPr="00E7403D">
              <w:rPr>
                <w:szCs w:val="24"/>
              </w:rPr>
              <w:t> :</w:t>
            </w:r>
          </w:p>
          <w:p w:rsidR="00B4435D" w:rsidRPr="009F2D58" w:rsidRDefault="00B4435D" w:rsidP="00B4435D">
            <w:pPr>
              <w:pStyle w:val="Paragraphedeliste"/>
              <w:numPr>
                <w:ilvl w:val="0"/>
                <w:numId w:val="13"/>
              </w:numPr>
              <w:ind w:right="175"/>
              <w:jc w:val="both"/>
              <w:rPr>
                <w:szCs w:val="24"/>
              </w:rPr>
            </w:pPr>
            <w:r w:rsidRPr="009F2D58">
              <w:rPr>
                <w:szCs w:val="24"/>
              </w:rPr>
              <w:t>Une part fixe : 2/3 du financement 2016,</w:t>
            </w:r>
          </w:p>
          <w:p w:rsidR="00B4435D" w:rsidRPr="009F2D58" w:rsidRDefault="00B4435D" w:rsidP="00B4435D">
            <w:pPr>
              <w:pStyle w:val="Paragraphedeliste"/>
              <w:numPr>
                <w:ilvl w:val="0"/>
                <w:numId w:val="13"/>
              </w:numPr>
              <w:ind w:right="175"/>
              <w:jc w:val="both"/>
              <w:rPr>
                <w:szCs w:val="24"/>
              </w:rPr>
            </w:pPr>
            <w:r w:rsidRPr="009F2D58">
              <w:rPr>
                <w:szCs w:val="24"/>
              </w:rPr>
              <w:t xml:space="preserve">Une part variable : </w:t>
            </w:r>
          </w:p>
          <w:p w:rsidR="00B4435D" w:rsidRPr="009F2D58" w:rsidRDefault="00B4435D" w:rsidP="00B4435D">
            <w:pPr>
              <w:pStyle w:val="Paragraphedeliste"/>
              <w:numPr>
                <w:ilvl w:val="0"/>
                <w:numId w:val="5"/>
              </w:numPr>
              <w:ind w:right="175"/>
              <w:jc w:val="both"/>
              <w:rPr>
                <w:szCs w:val="24"/>
              </w:rPr>
            </w:pPr>
            <w:r w:rsidRPr="009F2D58">
              <w:rPr>
                <w:szCs w:val="24"/>
              </w:rPr>
              <w:t>Une incitation proportionnelle au % d’ETP de salariés allocataires du RSA soit : 1 088 € par ETP.</w:t>
            </w:r>
          </w:p>
          <w:p w:rsidR="00B4435D" w:rsidRPr="009F2D58" w:rsidRDefault="00B4435D" w:rsidP="00B4435D">
            <w:pPr>
              <w:pStyle w:val="Paragraphedeliste"/>
              <w:numPr>
                <w:ilvl w:val="0"/>
                <w:numId w:val="5"/>
              </w:numPr>
              <w:ind w:right="175"/>
              <w:jc w:val="both"/>
              <w:rPr>
                <w:szCs w:val="24"/>
              </w:rPr>
            </w:pPr>
            <w:r w:rsidRPr="009F2D58">
              <w:rPr>
                <w:szCs w:val="24"/>
              </w:rPr>
              <w:t>Une bonification fixe dès 50 % d’allocataires recrutés (en nombre) issus des PER et PSSI parmi les allocataires RSA</w:t>
            </w:r>
          </w:p>
          <w:p w:rsidR="001574FF" w:rsidRPr="00232920" w:rsidRDefault="001574FF" w:rsidP="00232920">
            <w:pPr>
              <w:spacing w:before="60"/>
              <w:ind w:right="175"/>
              <w:jc w:val="both"/>
              <w:rPr>
                <w:color w:val="FF0000"/>
                <w:szCs w:val="24"/>
              </w:rPr>
            </w:pPr>
          </w:p>
          <w:p w:rsidR="008D1D3A" w:rsidRDefault="004F1DC9" w:rsidP="004F1DC9">
            <w:pPr>
              <w:pStyle w:val="Paragraphedeliste"/>
              <w:spacing w:before="60"/>
              <w:ind w:right="175"/>
              <w:jc w:val="both"/>
              <w:rPr>
                <w:szCs w:val="24"/>
              </w:rPr>
            </w:pPr>
            <w:r>
              <w:rPr>
                <w:rFonts w:ascii="Arial" w:hAnsi="Arial" w:cs="Arial"/>
                <w:szCs w:val="24"/>
                <w:u w:val="single"/>
              </w:rPr>
              <w:t>►</w:t>
            </w:r>
            <w:r w:rsidR="008D1D3A" w:rsidRPr="004F0F39">
              <w:rPr>
                <w:szCs w:val="24"/>
                <w:u w:val="single"/>
              </w:rPr>
              <w:t>Pour les AI</w:t>
            </w:r>
            <w:r>
              <w:rPr>
                <w:szCs w:val="24"/>
              </w:rPr>
              <w:t xml:space="preserve"> : </w:t>
            </w:r>
            <w:r w:rsidR="008D1D3A" w:rsidRPr="004F0F39">
              <w:rPr>
                <w:szCs w:val="24"/>
              </w:rPr>
              <w:t>1</w:t>
            </w:r>
            <w:r>
              <w:rPr>
                <w:szCs w:val="24"/>
              </w:rPr>
              <w:t>.</w:t>
            </w:r>
            <w:r w:rsidR="008D1D3A" w:rsidRPr="004F0F39">
              <w:rPr>
                <w:szCs w:val="24"/>
              </w:rPr>
              <w:t>500 € en moyenne pour 1 ETP d’allocataire</w:t>
            </w:r>
            <w:r w:rsidR="00E7403D">
              <w:rPr>
                <w:szCs w:val="24"/>
              </w:rPr>
              <w:t xml:space="preserve"> du RSA salarié pour les AI (916</w:t>
            </w:r>
            <w:r w:rsidR="008D1D3A" w:rsidRPr="004F0F39">
              <w:rPr>
                <w:szCs w:val="24"/>
              </w:rPr>
              <w:t xml:space="preserve"> € + un dispositif de financement lié à la part de représentativité des allocataires du RSA par rapport au nombre total de salariés en insertion en ETP dans la structure)</w:t>
            </w:r>
          </w:p>
          <w:p w:rsidR="004F0F39" w:rsidRPr="004F0F39" w:rsidRDefault="004F1DC9" w:rsidP="004F1DC9">
            <w:pPr>
              <w:spacing w:before="60"/>
              <w:ind w:right="175"/>
              <w:jc w:val="center"/>
              <w:rPr>
                <w:szCs w:val="24"/>
              </w:rPr>
            </w:pPr>
            <w:r>
              <w:rPr>
                <w:szCs w:val="24"/>
              </w:rPr>
              <w:t>***</w:t>
            </w:r>
          </w:p>
          <w:p w:rsidR="004F1DC9" w:rsidRDefault="004F1DC9" w:rsidP="004F1DC9">
            <w:pPr>
              <w:pStyle w:val="Paragraphedeliste"/>
              <w:ind w:right="175"/>
              <w:jc w:val="both"/>
              <w:rPr>
                <w:szCs w:val="24"/>
              </w:rPr>
            </w:pPr>
            <w:r>
              <w:rPr>
                <w:rFonts w:ascii="Arial" w:hAnsi="Arial" w:cs="Arial"/>
                <w:szCs w:val="24"/>
                <w:u w:val="single"/>
              </w:rPr>
              <w:t xml:space="preserve">► </w:t>
            </w:r>
            <w:r w:rsidR="008D1D3A" w:rsidRPr="004F1DC9">
              <w:rPr>
                <w:szCs w:val="24"/>
                <w:u w:val="single"/>
              </w:rPr>
              <w:t>Pour les EI</w:t>
            </w:r>
            <w:r>
              <w:rPr>
                <w:szCs w:val="24"/>
              </w:rPr>
              <w:t xml:space="preserve"> : </w:t>
            </w:r>
            <w:r w:rsidR="008D1D3A" w:rsidRPr="00673070">
              <w:rPr>
                <w:szCs w:val="24"/>
              </w:rPr>
              <w:t>3</w:t>
            </w:r>
            <w:r>
              <w:rPr>
                <w:szCs w:val="24"/>
              </w:rPr>
              <w:t>.</w:t>
            </w:r>
            <w:r w:rsidR="008D1D3A" w:rsidRPr="00673070">
              <w:rPr>
                <w:szCs w:val="24"/>
              </w:rPr>
              <w:t xml:space="preserve">700 € pour 1 ETP d’allocataire du RSA salarié en insertion </w:t>
            </w:r>
          </w:p>
          <w:p w:rsidR="004F1DC9" w:rsidRPr="004F4DD0" w:rsidRDefault="00E7403D" w:rsidP="004F4DD0">
            <w:pPr>
              <w:spacing w:before="60"/>
              <w:ind w:right="175"/>
              <w:jc w:val="center"/>
              <w:rPr>
                <w:szCs w:val="24"/>
              </w:rPr>
            </w:pPr>
            <w:r>
              <w:rPr>
                <w:szCs w:val="24"/>
              </w:rPr>
              <w:t>***</w:t>
            </w:r>
          </w:p>
          <w:p w:rsidR="008D1D3A" w:rsidRPr="00673070" w:rsidRDefault="004F1DC9" w:rsidP="004F1DC9">
            <w:pPr>
              <w:pStyle w:val="Paragraphedeliste"/>
              <w:spacing w:before="60"/>
              <w:ind w:right="175"/>
              <w:jc w:val="both"/>
              <w:rPr>
                <w:szCs w:val="24"/>
              </w:rPr>
            </w:pPr>
            <w:r>
              <w:rPr>
                <w:rFonts w:ascii="Arial" w:hAnsi="Arial" w:cs="Arial"/>
                <w:szCs w:val="24"/>
                <w:u w:val="single"/>
              </w:rPr>
              <w:t xml:space="preserve">► </w:t>
            </w:r>
            <w:r w:rsidR="008D1D3A" w:rsidRPr="004F1DC9">
              <w:rPr>
                <w:szCs w:val="24"/>
                <w:u w:val="single"/>
              </w:rPr>
              <w:t>Pour les ETTI</w:t>
            </w:r>
            <w:r>
              <w:rPr>
                <w:szCs w:val="24"/>
              </w:rPr>
              <w:t> :</w:t>
            </w:r>
            <w:r w:rsidR="008D1D3A" w:rsidRPr="00673070">
              <w:rPr>
                <w:szCs w:val="24"/>
              </w:rPr>
              <w:t xml:space="preserve"> 2</w:t>
            </w:r>
            <w:r>
              <w:rPr>
                <w:szCs w:val="24"/>
              </w:rPr>
              <w:t>.</w:t>
            </w:r>
            <w:r w:rsidR="008D1D3A" w:rsidRPr="00673070">
              <w:rPr>
                <w:szCs w:val="24"/>
              </w:rPr>
              <w:t>000 € pour 1 ETP d’allocataire du RSA salarié en insertion ETTI</w:t>
            </w:r>
          </w:p>
          <w:p w:rsidR="008D1D3A" w:rsidRPr="007360A8" w:rsidRDefault="008D1D3A" w:rsidP="007360A8">
            <w:pPr>
              <w:spacing w:before="60"/>
              <w:ind w:right="175"/>
              <w:jc w:val="both"/>
              <w:rPr>
                <w:szCs w:val="24"/>
              </w:rPr>
            </w:pPr>
            <w:r w:rsidRPr="007360A8">
              <w:rPr>
                <w:szCs w:val="24"/>
              </w:rPr>
              <w:t>Le calcul sera réalisé à partir du nombre d’heures réalisées par les allocataires du RSA (extrait de l’ASP) converties en ETP de salariés en insertion. Le nombre prévisionnel de salariés en insertion allocataires du RSA devra être indiqué dans la demande de financement.</w:t>
            </w:r>
          </w:p>
          <w:p w:rsidR="008D1D3A" w:rsidRDefault="007360A8" w:rsidP="007360A8">
            <w:pPr>
              <w:jc w:val="center"/>
              <w:rPr>
                <w:sz w:val="24"/>
                <w:szCs w:val="24"/>
              </w:rPr>
            </w:pPr>
            <w:r>
              <w:rPr>
                <w:b/>
                <w:noProof/>
                <w:sz w:val="24"/>
                <w:szCs w:val="24"/>
                <w:lang w:eastAsia="fr-FR"/>
              </w:rPr>
              <w:drawing>
                <wp:inline distT="0" distB="0" distL="0" distR="0" wp14:anchorId="67D3969F" wp14:editId="3B464D52">
                  <wp:extent cx="1933575" cy="514291"/>
                  <wp:effectExtent l="0" t="0" r="0" b="635"/>
                  <wp:docPr id="3" name="Image 3" descr="C:\Users\009518\AppData\Local\Microsoft\Windows\Temporary Internet Files\Content.Outlook\L9V8O5CL\3 logos 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9518\AppData\Local\Microsoft\Windows\Temporary Internet Files\Content.Outlook\L9V8O5CL\3 logos H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11" cy="514513"/>
                          </a:xfrm>
                          <a:prstGeom prst="rect">
                            <a:avLst/>
                          </a:prstGeom>
                          <a:noFill/>
                          <a:ln>
                            <a:noFill/>
                          </a:ln>
                        </pic:spPr>
                      </pic:pic>
                    </a:graphicData>
                  </a:graphic>
                </wp:inline>
              </w:drawing>
            </w:r>
          </w:p>
          <w:p w:rsidR="001574FF" w:rsidRPr="008D1D3A" w:rsidRDefault="001574FF" w:rsidP="001574FF">
            <w:pPr>
              <w:rPr>
                <w:sz w:val="24"/>
                <w:szCs w:val="24"/>
              </w:rPr>
            </w:pPr>
          </w:p>
        </w:tc>
      </w:tr>
      <w:tr w:rsidR="00A27335" w:rsidTr="007360A8">
        <w:tc>
          <w:tcPr>
            <w:tcW w:w="9640" w:type="dxa"/>
          </w:tcPr>
          <w:p w:rsidR="00A27335" w:rsidRPr="006109CA" w:rsidRDefault="00A27335" w:rsidP="000E0BE0">
            <w:pPr>
              <w:jc w:val="both"/>
              <w:rPr>
                <w:rFonts w:cs="Arial"/>
                <w:b/>
                <w:sz w:val="24"/>
              </w:rPr>
            </w:pPr>
            <w:r w:rsidRPr="006109CA">
              <w:rPr>
                <w:rFonts w:cs="Arial"/>
                <w:b/>
                <w:sz w:val="24"/>
              </w:rPr>
              <w:lastRenderedPageBreak/>
              <w:t>Indicateurs de résultats :</w:t>
            </w:r>
          </w:p>
          <w:p w:rsidR="00A27335" w:rsidRPr="006109CA" w:rsidRDefault="00A27335" w:rsidP="000E0BE0">
            <w:pPr>
              <w:ind w:right="175"/>
              <w:jc w:val="both"/>
              <w:rPr>
                <w:rFonts w:cs="Arial"/>
              </w:rPr>
            </w:pPr>
            <w:r w:rsidRPr="006109CA">
              <w:rPr>
                <w:rFonts w:cs="Arial"/>
              </w:rPr>
              <w:t>Le support d’évaluation de l’action est commun à celui de l’Etat ; il comporte notamment :</w:t>
            </w:r>
          </w:p>
          <w:p w:rsidR="00A27335" w:rsidRPr="008D1D3A" w:rsidRDefault="008D1D3A" w:rsidP="008D1D3A">
            <w:pPr>
              <w:pStyle w:val="Paragraphedeliste"/>
              <w:numPr>
                <w:ilvl w:val="0"/>
                <w:numId w:val="5"/>
              </w:numPr>
              <w:ind w:right="175"/>
              <w:jc w:val="both"/>
              <w:rPr>
                <w:rFonts w:cs="Arial"/>
              </w:rPr>
            </w:pPr>
            <w:r>
              <w:rPr>
                <w:rFonts w:cs="Arial"/>
              </w:rPr>
              <w:t>L</w:t>
            </w:r>
            <w:r w:rsidR="00A27335" w:rsidRPr="008D1D3A">
              <w:rPr>
                <w:rFonts w:cs="Arial"/>
              </w:rPr>
              <w:t>’évaluation qualitative et quantitative de l’accompagnement social et de l’encadrement professionnel apporté ainsi que les propositions d’orientation professionnelle, de formation pré-qualifiante ou qualifiante, ou d’emploi faites aux salariés ;</w:t>
            </w:r>
          </w:p>
          <w:p w:rsidR="00A27335" w:rsidRPr="008D1D3A" w:rsidRDefault="008D1D3A" w:rsidP="008D1D3A">
            <w:pPr>
              <w:pStyle w:val="Paragraphedeliste"/>
              <w:numPr>
                <w:ilvl w:val="0"/>
                <w:numId w:val="5"/>
              </w:numPr>
              <w:ind w:right="175"/>
              <w:jc w:val="both"/>
              <w:rPr>
                <w:rFonts w:cs="Arial"/>
              </w:rPr>
            </w:pPr>
            <w:r>
              <w:rPr>
                <w:rFonts w:cs="Arial"/>
              </w:rPr>
              <w:t>L</w:t>
            </w:r>
            <w:r w:rsidR="00A27335" w:rsidRPr="008D1D3A">
              <w:rPr>
                <w:rFonts w:cs="Arial"/>
              </w:rPr>
              <w:t xml:space="preserve">e nombre d’heures de travail réalisées par des salariés allocataires du RSA et leurs caractéristiques, </w:t>
            </w:r>
          </w:p>
          <w:p w:rsidR="00A27335" w:rsidRDefault="008D1D3A" w:rsidP="008D1D3A">
            <w:pPr>
              <w:pStyle w:val="Paragraphedeliste"/>
              <w:numPr>
                <w:ilvl w:val="0"/>
                <w:numId w:val="5"/>
              </w:numPr>
              <w:ind w:right="175"/>
              <w:jc w:val="both"/>
              <w:rPr>
                <w:rFonts w:cs="Arial"/>
              </w:rPr>
            </w:pPr>
            <w:r>
              <w:rPr>
                <w:rFonts w:cs="Arial"/>
              </w:rPr>
              <w:t>L</w:t>
            </w:r>
            <w:r w:rsidR="00A27335" w:rsidRPr="008D1D3A">
              <w:rPr>
                <w:rFonts w:cs="Arial"/>
              </w:rPr>
              <w:t>es résultats en termes d’accès et de retour à l’emploi des personnes sorties de la structure, et notamment des allocataires du RSA.</w:t>
            </w:r>
          </w:p>
          <w:p w:rsidR="007360A8" w:rsidRPr="007360A8" w:rsidRDefault="007360A8" w:rsidP="007360A8">
            <w:pPr>
              <w:ind w:right="175"/>
              <w:jc w:val="both"/>
              <w:rPr>
                <w:rFonts w:cs="Arial"/>
              </w:rPr>
            </w:pPr>
          </w:p>
        </w:tc>
      </w:tr>
      <w:tr w:rsidR="007360A8" w:rsidTr="007360A8">
        <w:tc>
          <w:tcPr>
            <w:tcW w:w="9640" w:type="dxa"/>
          </w:tcPr>
          <w:p w:rsidR="007360A8" w:rsidRPr="005A6EF1" w:rsidRDefault="007360A8" w:rsidP="007360A8">
            <w:pPr>
              <w:rPr>
                <w:b/>
                <w:sz w:val="24"/>
                <w:szCs w:val="24"/>
              </w:rPr>
            </w:pPr>
            <w:r w:rsidRPr="005A6EF1">
              <w:rPr>
                <w:b/>
                <w:sz w:val="24"/>
                <w:szCs w:val="24"/>
              </w:rPr>
              <w:t>Critère de sélection :</w:t>
            </w:r>
          </w:p>
          <w:p w:rsidR="007360A8" w:rsidRPr="005A6EF1" w:rsidRDefault="007360A8" w:rsidP="007360A8">
            <w:pPr>
              <w:numPr>
                <w:ilvl w:val="0"/>
                <w:numId w:val="1"/>
              </w:numPr>
              <w:spacing w:line="276" w:lineRule="auto"/>
              <w:contextualSpacing/>
              <w:rPr>
                <w:szCs w:val="24"/>
              </w:rPr>
            </w:pPr>
            <w:r w:rsidRPr="005A6EF1">
              <w:rPr>
                <w:rFonts w:ascii="Calibri" w:hAnsi="Calibri" w:cs="Calibri"/>
                <w:szCs w:val="24"/>
              </w:rPr>
              <w:t>Maîtrise des processus d’accompagnement socio-professionnel des publics en difficulté d’insertion</w:t>
            </w:r>
          </w:p>
          <w:p w:rsidR="007360A8" w:rsidRPr="005A6EF1" w:rsidRDefault="007360A8" w:rsidP="007360A8">
            <w:pPr>
              <w:numPr>
                <w:ilvl w:val="0"/>
                <w:numId w:val="1"/>
              </w:numPr>
              <w:spacing w:line="276" w:lineRule="auto"/>
              <w:contextualSpacing/>
              <w:rPr>
                <w:szCs w:val="24"/>
              </w:rPr>
            </w:pPr>
            <w:r w:rsidRPr="005A6EF1">
              <w:rPr>
                <w:rFonts w:ascii="Calibri" w:hAnsi="Calibri" w:cs="Calibri"/>
                <w:szCs w:val="24"/>
              </w:rPr>
              <w:t>Qualité et complémentarité des prestations d’accompagnement (emploi/social)</w:t>
            </w:r>
          </w:p>
          <w:p w:rsidR="007360A8" w:rsidRPr="005A6EF1" w:rsidRDefault="007360A8" w:rsidP="007360A8">
            <w:pPr>
              <w:numPr>
                <w:ilvl w:val="0"/>
                <w:numId w:val="1"/>
              </w:numPr>
              <w:spacing w:line="276" w:lineRule="auto"/>
              <w:contextualSpacing/>
              <w:rPr>
                <w:sz w:val="24"/>
                <w:szCs w:val="24"/>
              </w:rPr>
            </w:pPr>
            <w:r w:rsidRPr="005A6EF1">
              <w:rPr>
                <w:rFonts w:ascii="Calibri" w:hAnsi="Calibri" w:cs="Calibri"/>
                <w:szCs w:val="24"/>
              </w:rPr>
              <w:t>Réseau partenaires, réseau entreprises/environnement économique/référents uniques PER</w:t>
            </w:r>
          </w:p>
          <w:p w:rsidR="007360A8" w:rsidRPr="007360A8" w:rsidRDefault="007360A8" w:rsidP="007360A8">
            <w:pPr>
              <w:numPr>
                <w:ilvl w:val="0"/>
                <w:numId w:val="1"/>
              </w:numPr>
              <w:spacing w:line="276" w:lineRule="auto"/>
              <w:contextualSpacing/>
              <w:rPr>
                <w:sz w:val="24"/>
                <w:szCs w:val="24"/>
              </w:rPr>
            </w:pPr>
            <w:r w:rsidRPr="005A6EF1">
              <w:rPr>
                <w:rFonts w:ascii="Calibri" w:hAnsi="Calibri" w:cs="Calibri"/>
                <w:szCs w:val="24"/>
              </w:rPr>
              <w:t>Le Département sera attentif à la couverture territoriale proposée</w:t>
            </w:r>
          </w:p>
          <w:p w:rsidR="007360A8" w:rsidRPr="007360A8" w:rsidRDefault="007360A8" w:rsidP="000E0BE0">
            <w:pPr>
              <w:jc w:val="both"/>
              <w:rPr>
                <w:rFonts w:cs="Arial"/>
                <w:sz w:val="24"/>
              </w:rPr>
            </w:pPr>
          </w:p>
        </w:tc>
      </w:tr>
      <w:tr w:rsidR="00E7403D" w:rsidTr="007360A8">
        <w:tc>
          <w:tcPr>
            <w:tcW w:w="9640" w:type="dxa"/>
          </w:tcPr>
          <w:p w:rsidR="00E7403D" w:rsidRDefault="00E7403D" w:rsidP="007360A8">
            <w:pPr>
              <w:rPr>
                <w:b/>
                <w:sz w:val="24"/>
                <w:szCs w:val="24"/>
              </w:rPr>
            </w:pPr>
            <w:r>
              <w:rPr>
                <w:b/>
                <w:sz w:val="24"/>
                <w:szCs w:val="24"/>
              </w:rPr>
              <w:t>Modalités de dépôt :</w:t>
            </w:r>
          </w:p>
          <w:p w:rsidR="00E7403D" w:rsidRPr="009F2D58" w:rsidRDefault="00E7403D" w:rsidP="00E7403D">
            <w:pPr>
              <w:pStyle w:val="Paragraphedeliste"/>
              <w:numPr>
                <w:ilvl w:val="0"/>
                <w:numId w:val="1"/>
              </w:numPr>
              <w:rPr>
                <w:b/>
              </w:rPr>
            </w:pPr>
            <w:r w:rsidRPr="009F2D58">
              <w:t xml:space="preserve">Date limite : </w:t>
            </w:r>
            <w:r w:rsidRPr="009F2D58">
              <w:rPr>
                <w:b/>
                <w:u w:val="single"/>
              </w:rPr>
              <w:t>15 janvier 2019</w:t>
            </w:r>
          </w:p>
          <w:p w:rsidR="00E7403D" w:rsidRPr="009F2D58" w:rsidRDefault="00E7403D" w:rsidP="00E7403D">
            <w:pPr>
              <w:pStyle w:val="Paragraphedeliste"/>
              <w:numPr>
                <w:ilvl w:val="0"/>
                <w:numId w:val="1"/>
              </w:numPr>
              <w:rPr>
                <w:b/>
              </w:rPr>
            </w:pPr>
            <w:r w:rsidRPr="009F2D58">
              <w:t xml:space="preserve">Une lettre d’intention précisant le nombre prévisionnel d’allocataires RSA qui sera accueilli pendant l’année, </w:t>
            </w:r>
          </w:p>
          <w:p w:rsidR="00E7403D" w:rsidRPr="009F2D58" w:rsidRDefault="00E7403D" w:rsidP="00E7403D">
            <w:pPr>
              <w:pStyle w:val="Paragraphedeliste"/>
              <w:numPr>
                <w:ilvl w:val="0"/>
                <w:numId w:val="1"/>
              </w:numPr>
              <w:rPr>
                <w:b/>
              </w:rPr>
            </w:pPr>
            <w:r w:rsidRPr="009F2D58">
              <w:t>Un budget prévisionnel.</w:t>
            </w:r>
          </w:p>
          <w:p w:rsidR="00E7403D" w:rsidRPr="00E7403D" w:rsidRDefault="00E7403D" w:rsidP="00E7403D">
            <w:pPr>
              <w:pStyle w:val="Paragraphedeliste"/>
              <w:rPr>
                <w:b/>
                <w:sz w:val="24"/>
                <w:szCs w:val="24"/>
              </w:rPr>
            </w:pPr>
          </w:p>
        </w:tc>
      </w:tr>
      <w:tr w:rsidR="007360A8" w:rsidRPr="004F4DD0" w:rsidTr="007360A8">
        <w:tc>
          <w:tcPr>
            <w:tcW w:w="9640" w:type="dxa"/>
          </w:tcPr>
          <w:p w:rsidR="007360A8" w:rsidRPr="00B15E9A" w:rsidRDefault="007360A8" w:rsidP="007360A8">
            <w:pPr>
              <w:jc w:val="both"/>
              <w:rPr>
                <w:b/>
                <w:sz w:val="24"/>
                <w:szCs w:val="24"/>
              </w:rPr>
            </w:pPr>
            <w:r w:rsidRPr="00B15E9A">
              <w:rPr>
                <w:b/>
                <w:sz w:val="24"/>
                <w:szCs w:val="24"/>
              </w:rPr>
              <w:t>Contact</w:t>
            </w:r>
            <w:r w:rsidR="009F2D58">
              <w:rPr>
                <w:b/>
                <w:sz w:val="24"/>
                <w:szCs w:val="24"/>
              </w:rPr>
              <w:t>s</w:t>
            </w:r>
            <w:r w:rsidRPr="00B15E9A">
              <w:rPr>
                <w:b/>
                <w:sz w:val="24"/>
                <w:szCs w:val="24"/>
              </w:rPr>
              <w:t> :</w:t>
            </w:r>
          </w:p>
          <w:p w:rsidR="007360A8" w:rsidRDefault="007360A8" w:rsidP="007360A8">
            <w:pPr>
              <w:jc w:val="both"/>
              <w:rPr>
                <w:i/>
              </w:rPr>
            </w:pPr>
            <w:r w:rsidRPr="00B3513B">
              <w:rPr>
                <w:i/>
              </w:rPr>
              <w:t xml:space="preserve">Pour </w:t>
            </w:r>
            <w:r w:rsidR="009F2D58">
              <w:rPr>
                <w:i/>
              </w:rPr>
              <w:t>tout complément</w:t>
            </w:r>
            <w:r w:rsidRPr="00B3513B">
              <w:rPr>
                <w:i/>
              </w:rPr>
              <w:t xml:space="preserve"> d’information :</w:t>
            </w:r>
          </w:p>
          <w:p w:rsidR="004F4DD0" w:rsidRDefault="004F4DD0" w:rsidP="007360A8">
            <w:pPr>
              <w:jc w:val="both"/>
            </w:pPr>
          </w:p>
          <w:p w:rsidR="004F4DD0" w:rsidRDefault="004F4DD0" w:rsidP="007360A8">
            <w:pPr>
              <w:jc w:val="both"/>
              <w:rPr>
                <w:i/>
              </w:rPr>
            </w:pPr>
            <w:r w:rsidRPr="004F4DD0">
              <w:t>Chargés de projet</w:t>
            </w:r>
            <w:r>
              <w:rPr>
                <w:i/>
              </w:rPr>
              <w:t xml:space="preserve"> : </w:t>
            </w:r>
          </w:p>
          <w:p w:rsidR="007360A8" w:rsidRDefault="001574FF" w:rsidP="007360A8">
            <w:pPr>
              <w:pStyle w:val="Paragraphedeliste"/>
              <w:numPr>
                <w:ilvl w:val="0"/>
                <w:numId w:val="12"/>
              </w:numPr>
            </w:pPr>
            <w:r w:rsidRPr="00232920">
              <w:t xml:space="preserve">Fabien PIERROT – </w:t>
            </w:r>
            <w:hyperlink r:id="rId8" w:history="1">
              <w:r w:rsidR="00232920" w:rsidRPr="00AA6027">
                <w:rPr>
                  <w:rStyle w:val="Lienhypertexte"/>
                </w:rPr>
                <w:t>fabien.pierrot@isere.fr</w:t>
              </w:r>
            </w:hyperlink>
            <w:r w:rsidR="00232920">
              <w:t xml:space="preserve"> / 04 76 00 39 83</w:t>
            </w:r>
          </w:p>
          <w:p w:rsidR="004F4DD0" w:rsidRDefault="00E7403D" w:rsidP="004F4DD0">
            <w:pPr>
              <w:pStyle w:val="Paragraphedeliste"/>
              <w:numPr>
                <w:ilvl w:val="0"/>
                <w:numId w:val="12"/>
              </w:numPr>
            </w:pPr>
            <w:r>
              <w:t xml:space="preserve">Julie VAILLOUD – </w:t>
            </w:r>
            <w:hyperlink r:id="rId9" w:history="1">
              <w:r w:rsidRPr="00EF1277">
                <w:rPr>
                  <w:rStyle w:val="Lienhypertexte"/>
                </w:rPr>
                <w:t>julie.vailloud@isere.fr</w:t>
              </w:r>
            </w:hyperlink>
            <w:r>
              <w:t> / 04 76 00 31 92</w:t>
            </w:r>
          </w:p>
          <w:p w:rsidR="004F4DD0" w:rsidRDefault="004F4DD0" w:rsidP="004F4DD0">
            <w:r>
              <w:t xml:space="preserve">Gestionnaires : </w:t>
            </w:r>
          </w:p>
          <w:p w:rsidR="004F4DD0" w:rsidRPr="004F4DD0" w:rsidRDefault="004F4DD0" w:rsidP="007360A8">
            <w:pPr>
              <w:pStyle w:val="Paragraphedeliste"/>
              <w:numPr>
                <w:ilvl w:val="0"/>
                <w:numId w:val="12"/>
              </w:numPr>
              <w:rPr>
                <w:lang w:val="en-US"/>
              </w:rPr>
            </w:pPr>
            <w:r w:rsidRPr="004F4DD0">
              <w:rPr>
                <w:lang w:val="en-US"/>
              </w:rPr>
              <w:t xml:space="preserve">Meriem BOUKHATEM – </w:t>
            </w:r>
            <w:hyperlink r:id="rId10" w:history="1">
              <w:r w:rsidRPr="004F4DD0">
                <w:rPr>
                  <w:rStyle w:val="Lienhypertexte"/>
                  <w:lang w:val="en-US"/>
                </w:rPr>
                <w:t>meriem.boukhatem@isère.fr</w:t>
              </w:r>
            </w:hyperlink>
          </w:p>
          <w:p w:rsidR="004F4DD0" w:rsidRDefault="004F4DD0" w:rsidP="007360A8">
            <w:pPr>
              <w:pStyle w:val="Paragraphedeliste"/>
              <w:numPr>
                <w:ilvl w:val="0"/>
                <w:numId w:val="12"/>
              </w:numPr>
              <w:rPr>
                <w:lang w:val="en-US"/>
              </w:rPr>
            </w:pPr>
            <w:r>
              <w:rPr>
                <w:lang w:val="en-US"/>
              </w:rPr>
              <w:t xml:space="preserve">Nelly BELMONTE – </w:t>
            </w:r>
            <w:hyperlink r:id="rId11" w:history="1">
              <w:r w:rsidRPr="005D2617">
                <w:rPr>
                  <w:rStyle w:val="Lienhypertexte"/>
                  <w:lang w:val="en-US"/>
                </w:rPr>
                <w:t>nelly.belmonte@isère.fr</w:t>
              </w:r>
            </w:hyperlink>
          </w:p>
          <w:p w:rsidR="007360A8" w:rsidRPr="004F4DD0" w:rsidRDefault="007360A8" w:rsidP="004F4DD0">
            <w:pPr>
              <w:rPr>
                <w:sz w:val="24"/>
                <w:szCs w:val="24"/>
                <w:lang w:val="en-US"/>
              </w:rPr>
            </w:pPr>
            <w:bookmarkStart w:id="0" w:name="_GoBack"/>
            <w:bookmarkEnd w:id="0"/>
          </w:p>
          <w:p w:rsidR="007360A8" w:rsidRPr="004F4DD0" w:rsidRDefault="007360A8" w:rsidP="007360A8">
            <w:pPr>
              <w:rPr>
                <w:sz w:val="24"/>
                <w:szCs w:val="24"/>
                <w:lang w:val="en-US"/>
              </w:rPr>
            </w:pPr>
          </w:p>
        </w:tc>
      </w:tr>
    </w:tbl>
    <w:p w:rsidR="000C2A26" w:rsidRPr="004F4DD0" w:rsidRDefault="000C2A26" w:rsidP="007360A8">
      <w:pPr>
        <w:rPr>
          <w:lang w:val="en-US"/>
        </w:rPr>
      </w:pPr>
    </w:p>
    <w:p w:rsidR="001574FF" w:rsidRPr="004F4DD0" w:rsidRDefault="001574FF" w:rsidP="007360A8">
      <w:pPr>
        <w:rPr>
          <w:lang w:val="en-US"/>
        </w:rPr>
      </w:pPr>
    </w:p>
    <w:p w:rsidR="00232920" w:rsidRPr="004F4DD0" w:rsidRDefault="00232920" w:rsidP="007360A8">
      <w:pPr>
        <w:rPr>
          <w:lang w:val="en-US"/>
        </w:rPr>
      </w:pPr>
    </w:p>
    <w:p w:rsidR="00232920" w:rsidRPr="004F4DD0" w:rsidRDefault="00232920" w:rsidP="007360A8">
      <w:pPr>
        <w:rPr>
          <w:lang w:val="en-US"/>
        </w:rPr>
      </w:pPr>
    </w:p>
    <w:p w:rsidR="00232920" w:rsidRPr="004F4DD0" w:rsidRDefault="00232920" w:rsidP="00E7403D">
      <w:pPr>
        <w:rPr>
          <w:lang w:val="en-US"/>
        </w:rPr>
      </w:pPr>
    </w:p>
    <w:sectPr w:rsidR="00232920" w:rsidRPr="004F4DD0" w:rsidSect="007360A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E84"/>
    <w:multiLevelType w:val="hybridMultilevel"/>
    <w:tmpl w:val="04847BA8"/>
    <w:lvl w:ilvl="0" w:tplc="A23456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E503C7"/>
    <w:multiLevelType w:val="hybridMultilevel"/>
    <w:tmpl w:val="0832E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E139D7"/>
    <w:multiLevelType w:val="hybridMultilevel"/>
    <w:tmpl w:val="E2CC3D52"/>
    <w:lvl w:ilvl="0" w:tplc="3F0C36E8">
      <w:start w:val="2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055A01"/>
    <w:multiLevelType w:val="hybridMultilevel"/>
    <w:tmpl w:val="52E2FF92"/>
    <w:lvl w:ilvl="0" w:tplc="3F0C36E8">
      <w:start w:val="2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F22548"/>
    <w:multiLevelType w:val="hybridMultilevel"/>
    <w:tmpl w:val="E6528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185CE8"/>
    <w:multiLevelType w:val="hybridMultilevel"/>
    <w:tmpl w:val="FE1ADBF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0C97FEB"/>
    <w:multiLevelType w:val="hybridMultilevel"/>
    <w:tmpl w:val="06F8C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154969"/>
    <w:multiLevelType w:val="hybridMultilevel"/>
    <w:tmpl w:val="E6806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AE1BB3"/>
    <w:multiLevelType w:val="hybridMultilevel"/>
    <w:tmpl w:val="FC68E43E"/>
    <w:lvl w:ilvl="0" w:tplc="E8B4D6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590819"/>
    <w:multiLevelType w:val="hybridMultilevel"/>
    <w:tmpl w:val="E4FEA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0E75E3"/>
    <w:multiLevelType w:val="hybridMultilevel"/>
    <w:tmpl w:val="9C586E8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705F3FBC"/>
    <w:multiLevelType w:val="hybridMultilevel"/>
    <w:tmpl w:val="B4F47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C36C5D"/>
    <w:multiLevelType w:val="hybridMultilevel"/>
    <w:tmpl w:val="D6E47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9"/>
  </w:num>
  <w:num w:numId="5">
    <w:abstractNumId w:val="1"/>
  </w:num>
  <w:num w:numId="6">
    <w:abstractNumId w:val="3"/>
  </w:num>
  <w:num w:numId="7">
    <w:abstractNumId w:val="5"/>
  </w:num>
  <w:num w:numId="8">
    <w:abstractNumId w:val="10"/>
  </w:num>
  <w:num w:numId="9">
    <w:abstractNumId w:val="7"/>
  </w:num>
  <w:num w:numId="10">
    <w:abstractNumId w:val="1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35"/>
    <w:rsid w:val="00012B44"/>
    <w:rsid w:val="000A543D"/>
    <w:rsid w:val="000C2A26"/>
    <w:rsid w:val="001574FF"/>
    <w:rsid w:val="00232920"/>
    <w:rsid w:val="002A2512"/>
    <w:rsid w:val="00345308"/>
    <w:rsid w:val="003D5544"/>
    <w:rsid w:val="00406205"/>
    <w:rsid w:val="004F0F39"/>
    <w:rsid w:val="004F1DC9"/>
    <w:rsid w:val="004F4DD0"/>
    <w:rsid w:val="00673070"/>
    <w:rsid w:val="00691C47"/>
    <w:rsid w:val="006E2CCC"/>
    <w:rsid w:val="007360A8"/>
    <w:rsid w:val="00770C06"/>
    <w:rsid w:val="00792B3B"/>
    <w:rsid w:val="007C5BC3"/>
    <w:rsid w:val="008D1D3A"/>
    <w:rsid w:val="009F2D58"/>
    <w:rsid w:val="00A27335"/>
    <w:rsid w:val="00B4435D"/>
    <w:rsid w:val="00CC02C2"/>
    <w:rsid w:val="00E7403D"/>
    <w:rsid w:val="00F74A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27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7335"/>
    <w:pPr>
      <w:ind w:left="720"/>
      <w:contextualSpacing/>
    </w:pPr>
  </w:style>
  <w:style w:type="paragraph" w:styleId="Textedebulles">
    <w:name w:val="Balloon Text"/>
    <w:basedOn w:val="Normal"/>
    <w:link w:val="TextedebullesCar"/>
    <w:uiPriority w:val="99"/>
    <w:semiHidden/>
    <w:unhideWhenUsed/>
    <w:rsid w:val="00A273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335"/>
    <w:rPr>
      <w:rFonts w:ascii="Tahoma" w:hAnsi="Tahoma" w:cs="Tahoma"/>
      <w:sz w:val="16"/>
      <w:szCs w:val="16"/>
    </w:rPr>
  </w:style>
  <w:style w:type="character" w:styleId="Textedelespacerserv">
    <w:name w:val="Placeholder Text"/>
    <w:basedOn w:val="Policepardfaut"/>
    <w:uiPriority w:val="99"/>
    <w:semiHidden/>
    <w:rsid w:val="004F1DC9"/>
    <w:rPr>
      <w:color w:val="808080"/>
    </w:rPr>
  </w:style>
  <w:style w:type="character" w:styleId="Lienhypertexte">
    <w:name w:val="Hyperlink"/>
    <w:basedOn w:val="Policepardfaut"/>
    <w:uiPriority w:val="99"/>
    <w:unhideWhenUsed/>
    <w:rsid w:val="00232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27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7335"/>
    <w:pPr>
      <w:ind w:left="720"/>
      <w:contextualSpacing/>
    </w:pPr>
  </w:style>
  <w:style w:type="paragraph" w:styleId="Textedebulles">
    <w:name w:val="Balloon Text"/>
    <w:basedOn w:val="Normal"/>
    <w:link w:val="TextedebullesCar"/>
    <w:uiPriority w:val="99"/>
    <w:semiHidden/>
    <w:unhideWhenUsed/>
    <w:rsid w:val="00A273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335"/>
    <w:rPr>
      <w:rFonts w:ascii="Tahoma" w:hAnsi="Tahoma" w:cs="Tahoma"/>
      <w:sz w:val="16"/>
      <w:szCs w:val="16"/>
    </w:rPr>
  </w:style>
  <w:style w:type="character" w:styleId="Textedelespacerserv">
    <w:name w:val="Placeholder Text"/>
    <w:basedOn w:val="Policepardfaut"/>
    <w:uiPriority w:val="99"/>
    <w:semiHidden/>
    <w:rsid w:val="004F1DC9"/>
    <w:rPr>
      <w:color w:val="808080"/>
    </w:rPr>
  </w:style>
  <w:style w:type="character" w:styleId="Lienhypertexte">
    <w:name w:val="Hyperlink"/>
    <w:basedOn w:val="Policepardfaut"/>
    <w:uiPriority w:val="99"/>
    <w:unhideWhenUsed/>
    <w:rsid w:val="00232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7773">
      <w:bodyDiv w:val="1"/>
      <w:marLeft w:val="0"/>
      <w:marRight w:val="0"/>
      <w:marTop w:val="0"/>
      <w:marBottom w:val="0"/>
      <w:divBdr>
        <w:top w:val="none" w:sz="0" w:space="0" w:color="auto"/>
        <w:left w:val="none" w:sz="0" w:space="0" w:color="auto"/>
        <w:bottom w:val="none" w:sz="0" w:space="0" w:color="auto"/>
        <w:right w:val="none" w:sz="0" w:space="0" w:color="auto"/>
      </w:divBdr>
    </w:div>
    <w:div w:id="1290623552">
      <w:bodyDiv w:val="1"/>
      <w:marLeft w:val="0"/>
      <w:marRight w:val="0"/>
      <w:marTop w:val="0"/>
      <w:marBottom w:val="0"/>
      <w:divBdr>
        <w:top w:val="none" w:sz="0" w:space="0" w:color="auto"/>
        <w:left w:val="none" w:sz="0" w:space="0" w:color="auto"/>
        <w:bottom w:val="none" w:sz="0" w:space="0" w:color="auto"/>
        <w:right w:val="none" w:sz="0" w:space="0" w:color="auto"/>
      </w:divBdr>
    </w:div>
    <w:div w:id="19068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en.pierrot@isere.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elly.belmonte@is&#232;re.fr" TargetMode="External"/><Relationship Id="rId5" Type="http://schemas.openxmlformats.org/officeDocument/2006/relationships/webSettings" Target="webSettings.xml"/><Relationship Id="rId10" Type="http://schemas.openxmlformats.org/officeDocument/2006/relationships/hyperlink" Target="mailto:meriem.boukhatem@is&#232;re.fr" TargetMode="External"/><Relationship Id="rId4" Type="http://schemas.openxmlformats.org/officeDocument/2006/relationships/settings" Target="settings.xml"/><Relationship Id="rId9" Type="http://schemas.openxmlformats.org/officeDocument/2006/relationships/hyperlink" Target="mailto:julie.vailloud@is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Margueron Mathilde</dc:creator>
  <cp:lastModifiedBy>Pierrot Fabien</cp:lastModifiedBy>
  <cp:revision>5</cp:revision>
  <cp:lastPrinted>2018-12-06T15:02:00Z</cp:lastPrinted>
  <dcterms:created xsi:type="dcterms:W3CDTF">2018-12-06T16:53:00Z</dcterms:created>
  <dcterms:modified xsi:type="dcterms:W3CDTF">2018-12-10T09:56:00Z</dcterms:modified>
</cp:coreProperties>
</file>